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B6" w:rsidRDefault="004C4FB6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sz w:val="19"/>
          <w:szCs w:val="19"/>
        </w:rPr>
      </w:pPr>
    </w:p>
    <w:p w:rsidR="004C4FB6" w:rsidRDefault="004C4FB6" w:rsidP="004C4FB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>
        <w:rPr>
          <w:rFonts w:ascii="StoneInfITC-MediumItalic" w:hAnsi="StoneInfITC-MediumItalic" w:cs="StoneInfITC-MediumItalic"/>
          <w:b/>
          <w:i/>
          <w:iCs/>
        </w:rPr>
        <w:t>THE GRADED ONE!!!!!</w:t>
      </w:r>
    </w:p>
    <w:p w:rsidR="004C4FB6" w:rsidRPr="004C4FB6" w:rsidRDefault="004C4FB6" w:rsidP="004C4FB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b/>
          <w:i/>
          <w:iCs/>
        </w:rPr>
      </w:pPr>
      <w:r w:rsidRPr="004C4FB6">
        <w:rPr>
          <w:rFonts w:ascii="StoneInfITC-MediumItalic" w:hAnsi="StoneInfITC-MediumItalic" w:cs="StoneInfITC-MediumItalic"/>
          <w:b/>
          <w:i/>
          <w:iCs/>
        </w:rPr>
        <w:t xml:space="preserve">6. (AD ASSESSMENT) </w:t>
      </w:r>
      <w:proofErr w:type="gramStart"/>
      <w:r w:rsidRPr="004C4FB6">
        <w:rPr>
          <w:rFonts w:ascii="StoneInfITC-MediumItalic" w:hAnsi="StoneInfITC-MediumItalic" w:cs="StoneInfITC-MediumItalic"/>
          <w:b/>
          <w:i/>
          <w:iCs/>
        </w:rPr>
        <w:t>A</w:t>
      </w:r>
      <w:proofErr w:type="gramEnd"/>
      <w:r w:rsidRPr="004C4FB6">
        <w:rPr>
          <w:rFonts w:ascii="StoneInfITC-MediumItalic" w:hAnsi="StoneInfITC-MediumItalic" w:cs="StoneInfITC-MediumItalic"/>
          <w:b/>
          <w:i/>
          <w:iCs/>
        </w:rPr>
        <w:t xml:space="preserve"> curious student wanted to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4C4FB6">
        <w:rPr>
          <w:rFonts w:ascii="StoneInfITC-MediumItalic" w:hAnsi="StoneInfITC-MediumItalic" w:cs="StoneInfITC-MediumItalic"/>
          <w:b/>
          <w:i/>
          <w:iCs/>
        </w:rPr>
        <w:t>know if the calorimeter would work using different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4C4FB6">
        <w:rPr>
          <w:rFonts w:ascii="StoneInfITC-MediumItalic" w:hAnsi="StoneInfITC-MediumItalic" w:cs="StoneInfITC-MediumItalic"/>
          <w:b/>
          <w:i/>
          <w:iCs/>
        </w:rPr>
        <w:t>amounts of water. The table below shows the results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4C4FB6">
        <w:rPr>
          <w:rFonts w:ascii="StoneInfITC-MediumItalic" w:hAnsi="StoneInfITC-MediumItalic" w:cs="StoneInfITC-MediumItalic"/>
          <w:b/>
          <w:i/>
          <w:iCs/>
        </w:rPr>
        <w:t>from her burning three nuts of the same type and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4C4FB6">
        <w:rPr>
          <w:rFonts w:ascii="StoneInfITC-MediumItalic" w:hAnsi="StoneInfITC-MediumItalic" w:cs="StoneInfITC-MediumItalic"/>
          <w:b/>
          <w:i/>
          <w:iCs/>
        </w:rPr>
        <w:t>mass, but using varied amounts of water in the can.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4C4FB6">
        <w:rPr>
          <w:rFonts w:ascii="StoneInfITC-MediumItalic" w:hAnsi="StoneInfITC-MediumItalic" w:cs="StoneInfITC-MediumItalic"/>
          <w:b/>
          <w:i/>
          <w:iCs/>
        </w:rPr>
        <w:t>Explain from the table below if the calorimeter measured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4C4FB6">
        <w:rPr>
          <w:rFonts w:ascii="StoneInfITC-MediumItalic" w:hAnsi="StoneInfITC-MediumItalic" w:cs="StoneInfITC-MediumItalic"/>
          <w:b/>
          <w:i/>
          <w:iCs/>
        </w:rPr>
        <w:t>the energy in the nut properly when used with</w:t>
      </w:r>
      <w:r>
        <w:rPr>
          <w:rFonts w:ascii="StoneInfITC-MediumItalic" w:hAnsi="StoneInfITC-MediumItalic" w:cs="StoneInfITC-MediumItalic"/>
          <w:b/>
          <w:i/>
          <w:iCs/>
        </w:rPr>
        <w:t xml:space="preserve"> </w:t>
      </w:r>
      <w:r w:rsidRPr="004C4FB6">
        <w:rPr>
          <w:rFonts w:ascii="StoneInfITC-MediumItalic" w:hAnsi="StoneInfITC-MediumItalic" w:cs="StoneInfITC-MediumItalic"/>
          <w:b/>
          <w:i/>
          <w:iCs/>
        </w:rPr>
        <w:t>different amounts of water.</w:t>
      </w:r>
    </w:p>
    <w:p w:rsidR="004C4FB6" w:rsidRDefault="004C4FB6" w:rsidP="004C4FB6">
      <w:pPr>
        <w:autoSpaceDE w:val="0"/>
        <w:autoSpaceDN w:val="0"/>
        <w:adjustRightInd w:val="0"/>
        <w:spacing w:after="0" w:line="240" w:lineRule="auto"/>
        <w:rPr>
          <w:rFonts w:ascii="StoneInfITC-MediumItalic" w:hAnsi="StoneInfITC-MediumItalic" w:cs="StoneInfITC-MediumItalic"/>
          <w:i/>
          <w:iCs/>
          <w:sz w:val="19"/>
          <w:szCs w:val="19"/>
        </w:rPr>
      </w:pPr>
    </w:p>
    <w:tbl>
      <w:tblPr>
        <w:tblStyle w:val="TableGrid"/>
        <w:tblW w:w="0" w:type="auto"/>
        <w:tblLook w:val="04A0"/>
      </w:tblPr>
      <w:tblGrid>
        <w:gridCol w:w="1142"/>
        <w:gridCol w:w="1999"/>
        <w:gridCol w:w="1999"/>
        <w:gridCol w:w="1999"/>
      </w:tblGrid>
      <w:tr w:rsidR="00D97C04" w:rsidRPr="00772AAC" w:rsidTr="00031F23">
        <w:trPr>
          <w:trHeight w:val="141"/>
        </w:trPr>
        <w:tc>
          <w:tcPr>
            <w:tcW w:w="1142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Fuel Source</w:t>
            </w:r>
          </w:p>
        </w:tc>
        <w:tc>
          <w:tcPr>
            <w:tcW w:w="1999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Mass of Water in grams</w:t>
            </w:r>
          </w:p>
        </w:tc>
        <w:tc>
          <w:tcPr>
            <w:tcW w:w="1999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Temp. Change of water and then rounded temp change</w:t>
            </w:r>
          </w:p>
        </w:tc>
        <w:tc>
          <w:tcPr>
            <w:tcW w:w="1999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 xml:space="preserve">Calculated </w:t>
            </w:r>
            <w:proofErr w:type="gramStart"/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 xml:space="preserve">Energy </w:t>
            </w:r>
            <w:r>
              <w:rPr>
                <w:rFonts w:ascii="StoneInfITC-Medium" w:hAnsi="StoneInfITC-Medium" w:cs="StoneInfITC-Medium"/>
                <w:b/>
                <w:sz w:val="19"/>
                <w:szCs w:val="19"/>
              </w:rPr>
              <w:t xml:space="preserve"> </w:t>
            </w: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(</w:t>
            </w:r>
            <w:proofErr w:type="gramEnd"/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show work below</w:t>
            </w:r>
            <w:r>
              <w:rPr>
                <w:rFonts w:ascii="StoneInfITC-Medium" w:hAnsi="StoneInfITC-Medium" w:cs="StoneInfITC-Medium"/>
                <w:b/>
                <w:sz w:val="19"/>
                <w:szCs w:val="19"/>
              </w:rPr>
              <w:t>.)</w:t>
            </w:r>
          </w:p>
        </w:tc>
      </w:tr>
      <w:tr w:rsidR="00D97C04" w:rsidRPr="00772AAC" w:rsidTr="003B42BD">
        <w:trPr>
          <w:trHeight w:val="773"/>
        </w:trPr>
        <w:tc>
          <w:tcPr>
            <w:tcW w:w="1142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Nut 1</w:t>
            </w:r>
          </w:p>
        </w:tc>
        <w:tc>
          <w:tcPr>
            <w:tcW w:w="1999" w:type="dxa"/>
          </w:tcPr>
          <w:p w:rsidR="00D97C04" w:rsidRPr="00772AAC" w:rsidRDefault="00D97C04" w:rsidP="00772AAC">
            <w:pPr>
              <w:jc w:val="center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jc w:val="center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200g</w:t>
            </w:r>
          </w:p>
        </w:tc>
        <w:tc>
          <w:tcPr>
            <w:tcW w:w="1999" w:type="dxa"/>
          </w:tcPr>
          <w:p w:rsidR="00D97C04" w:rsidRPr="00772AAC" w:rsidRDefault="00D97C04" w:rsidP="00772AAC">
            <w:pPr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19</w:t>
            </w: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  <w:vertAlign w:val="superscript"/>
              </w:rPr>
              <w:t>o</w:t>
            </w: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C</w:t>
            </w:r>
          </w:p>
        </w:tc>
        <w:tc>
          <w:tcPr>
            <w:tcW w:w="1999" w:type="dxa"/>
          </w:tcPr>
          <w:p w:rsidR="00D97C04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noProof/>
                <w:sz w:val="19"/>
                <w:szCs w:val="19"/>
              </w:rPr>
            </w:pPr>
          </w:p>
        </w:tc>
      </w:tr>
      <w:tr w:rsidR="00D97C04" w:rsidRPr="00772AAC" w:rsidTr="00031F23">
        <w:trPr>
          <w:trHeight w:val="233"/>
        </w:trPr>
        <w:tc>
          <w:tcPr>
            <w:tcW w:w="1142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Nut 2</w:t>
            </w:r>
          </w:p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 xml:space="preserve"> </w:t>
            </w:r>
          </w:p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</w:tc>
        <w:tc>
          <w:tcPr>
            <w:tcW w:w="1999" w:type="dxa"/>
          </w:tcPr>
          <w:p w:rsidR="00D97C04" w:rsidRPr="00772AAC" w:rsidRDefault="00D97C04" w:rsidP="00772AAC">
            <w:pPr>
              <w:autoSpaceDE w:val="0"/>
              <w:autoSpaceDN w:val="0"/>
              <w:adjustRightInd w:val="0"/>
              <w:jc w:val="center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jc w:val="center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jc w:val="center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100g</w:t>
            </w:r>
          </w:p>
        </w:tc>
        <w:tc>
          <w:tcPr>
            <w:tcW w:w="1999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39</w:t>
            </w: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  <w:vertAlign w:val="superscript"/>
              </w:rPr>
              <w:t>o</w:t>
            </w: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C</w:t>
            </w:r>
          </w:p>
        </w:tc>
        <w:tc>
          <w:tcPr>
            <w:tcW w:w="1999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</w:tc>
      </w:tr>
      <w:tr w:rsidR="00D97C04" w:rsidRPr="00772AAC" w:rsidTr="00031F23">
        <w:trPr>
          <w:trHeight w:val="486"/>
        </w:trPr>
        <w:tc>
          <w:tcPr>
            <w:tcW w:w="1142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Nut 3</w:t>
            </w:r>
          </w:p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</w:tc>
        <w:tc>
          <w:tcPr>
            <w:tcW w:w="1999" w:type="dxa"/>
          </w:tcPr>
          <w:p w:rsidR="00D97C04" w:rsidRPr="00772AAC" w:rsidRDefault="00D97C04" w:rsidP="00772AAC">
            <w:pPr>
              <w:autoSpaceDE w:val="0"/>
              <w:autoSpaceDN w:val="0"/>
              <w:adjustRightInd w:val="0"/>
              <w:jc w:val="center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jc w:val="center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jc w:val="center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50g</w:t>
            </w:r>
          </w:p>
        </w:tc>
        <w:tc>
          <w:tcPr>
            <w:tcW w:w="1999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  <w:p w:rsidR="00D97C04" w:rsidRPr="00772AAC" w:rsidRDefault="00D97C04" w:rsidP="00772AAC">
            <w:pPr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77</w:t>
            </w: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  <w:vertAlign w:val="superscript"/>
              </w:rPr>
              <w:t>o</w:t>
            </w:r>
            <w:r w:rsidRPr="00772AAC">
              <w:rPr>
                <w:rFonts w:ascii="StoneInfITC-Medium" w:hAnsi="StoneInfITC-Medium" w:cs="StoneInfITC-Medium"/>
                <w:b/>
                <w:sz w:val="19"/>
                <w:szCs w:val="19"/>
              </w:rPr>
              <w:t>C</w:t>
            </w:r>
          </w:p>
        </w:tc>
        <w:tc>
          <w:tcPr>
            <w:tcW w:w="1999" w:type="dxa"/>
          </w:tcPr>
          <w:p w:rsidR="00D97C04" w:rsidRPr="00772AAC" w:rsidRDefault="00D97C04" w:rsidP="004C4FB6">
            <w:pPr>
              <w:autoSpaceDE w:val="0"/>
              <w:autoSpaceDN w:val="0"/>
              <w:adjustRightInd w:val="0"/>
              <w:rPr>
                <w:rFonts w:ascii="StoneInfITC-Medium" w:hAnsi="StoneInfITC-Medium" w:cs="StoneInfITC-Medium"/>
                <w:b/>
                <w:sz w:val="19"/>
                <w:szCs w:val="19"/>
              </w:rPr>
            </w:pPr>
          </w:p>
        </w:tc>
      </w:tr>
    </w:tbl>
    <w:p w:rsidR="004C4FB6" w:rsidRDefault="004C4FB6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564807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 xml:space="preserve">1. </w:t>
      </w:r>
      <w:r w:rsidR="00D97C04">
        <w:rPr>
          <w:rFonts w:ascii="StoneInfITC-Medium" w:hAnsi="StoneInfITC-Medium" w:cs="StoneInfITC-Medium"/>
          <w:b/>
          <w:sz w:val="19"/>
          <w:szCs w:val="19"/>
        </w:rPr>
        <w:t xml:space="preserve">Let's </w:t>
      </w:r>
      <w:r w:rsidR="00564807">
        <w:rPr>
          <w:rFonts w:ascii="StoneInfITC-Medium" w:hAnsi="StoneInfITC-Medium" w:cs="StoneInfITC-Medium"/>
          <w:b/>
          <w:sz w:val="19"/>
          <w:szCs w:val="19"/>
        </w:rPr>
        <w:t>think about this in terms of energy transformation: Write the intended conversation that occurs when the nut is burned.</w:t>
      </w:r>
      <w:r w:rsidR="00D97C04">
        <w:rPr>
          <w:rFonts w:ascii="StoneInfITC-Medium" w:hAnsi="StoneInfITC-Medium" w:cs="StoneInfITC-Medium"/>
          <w:b/>
          <w:sz w:val="19"/>
          <w:szCs w:val="19"/>
        </w:rPr>
        <w:t xml:space="preserve"> </w:t>
      </w:r>
    </w:p>
    <w:p w:rsidR="00564807" w:rsidRDefault="00564807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564807" w:rsidRDefault="00564807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772AAC" w:rsidRDefault="00564807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>Now</w:t>
      </w:r>
      <w:r w:rsidR="00D97C04">
        <w:rPr>
          <w:rFonts w:ascii="StoneInfITC-Medium" w:hAnsi="StoneInfITC-Medium" w:cs="StoneInfITC-Medium"/>
          <w:b/>
          <w:sz w:val="19"/>
          <w:szCs w:val="19"/>
        </w:rPr>
        <w:t xml:space="preserve"> identify the following:</w:t>
      </w:r>
    </w:p>
    <w:p w:rsidR="009A1682" w:rsidRDefault="009A1682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Pr="00D156EE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20"/>
          <w:szCs w:val="20"/>
        </w:rPr>
      </w:pPr>
      <w:r w:rsidRPr="00D156EE">
        <w:rPr>
          <w:rFonts w:ascii="StoneInfITC-Medium" w:hAnsi="StoneInfITC-Medium" w:cs="StoneInfITC-Medium"/>
          <w:b/>
          <w:sz w:val="20"/>
          <w:szCs w:val="20"/>
        </w:rPr>
        <w:t xml:space="preserve">a. </w:t>
      </w:r>
      <w:r w:rsidR="009A1682" w:rsidRPr="00D156EE">
        <w:rPr>
          <w:rFonts w:ascii="StoneInfITC-Medium" w:hAnsi="StoneInfITC-Medium" w:cs="StoneInfITC-Medium"/>
          <w:b/>
          <w:sz w:val="20"/>
          <w:szCs w:val="20"/>
        </w:rPr>
        <w:t>Independent Variable:</w:t>
      </w:r>
    </w:p>
    <w:p w:rsidR="009A1682" w:rsidRPr="00D156EE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20"/>
          <w:szCs w:val="20"/>
        </w:rPr>
      </w:pPr>
      <w:r w:rsidRPr="00D156EE">
        <w:rPr>
          <w:rFonts w:ascii="StoneInfITC-Medium" w:hAnsi="StoneInfITC-Medium" w:cs="StoneInfITC-Medium"/>
          <w:b/>
          <w:sz w:val="20"/>
          <w:szCs w:val="20"/>
        </w:rPr>
        <w:t xml:space="preserve">b. </w:t>
      </w:r>
      <w:r w:rsidR="009A1682" w:rsidRPr="00D156EE">
        <w:rPr>
          <w:rFonts w:ascii="StoneInfITC-Medium" w:hAnsi="StoneInfITC-Medium" w:cs="StoneInfITC-Medium"/>
          <w:b/>
          <w:sz w:val="20"/>
          <w:szCs w:val="20"/>
        </w:rPr>
        <w:t>Dependent Variable:</w:t>
      </w:r>
    </w:p>
    <w:p w:rsidR="009A1682" w:rsidRPr="00D156EE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20"/>
          <w:szCs w:val="20"/>
        </w:rPr>
      </w:pPr>
      <w:r w:rsidRPr="00D156EE">
        <w:rPr>
          <w:rFonts w:ascii="StoneInfITC-Medium" w:hAnsi="StoneInfITC-Medium" w:cs="StoneInfITC-Medium"/>
          <w:b/>
          <w:sz w:val="20"/>
          <w:szCs w:val="20"/>
        </w:rPr>
        <w:t xml:space="preserve">c. </w:t>
      </w:r>
      <w:r w:rsidR="00D97C04" w:rsidRPr="00D156EE">
        <w:rPr>
          <w:rFonts w:ascii="StoneInfITC-Medium" w:hAnsi="StoneInfITC-Medium" w:cs="StoneInfITC-Medium"/>
          <w:b/>
          <w:sz w:val="20"/>
          <w:szCs w:val="20"/>
        </w:rPr>
        <w:t>What is held</w:t>
      </w:r>
      <w:r w:rsidR="009A1682" w:rsidRPr="00D156EE">
        <w:rPr>
          <w:rFonts w:ascii="StoneInfITC-Medium" w:hAnsi="StoneInfITC-Medium" w:cs="StoneInfITC-Medium"/>
          <w:b/>
          <w:sz w:val="20"/>
          <w:szCs w:val="20"/>
        </w:rPr>
        <w:t xml:space="preserve"> </w:t>
      </w:r>
      <w:proofErr w:type="gramStart"/>
      <w:r w:rsidR="009A1682" w:rsidRPr="00D156EE">
        <w:rPr>
          <w:rFonts w:ascii="StoneInfITC-Medium" w:hAnsi="StoneInfITC-Medium" w:cs="StoneInfITC-Medium"/>
          <w:b/>
          <w:sz w:val="20"/>
          <w:szCs w:val="20"/>
        </w:rPr>
        <w:t>Constant:</w:t>
      </w:r>
      <w:proofErr w:type="gramEnd"/>
      <w:r w:rsidR="009A1682" w:rsidRPr="00D156EE">
        <w:rPr>
          <w:rFonts w:ascii="StoneInfITC-Medium" w:hAnsi="StoneInfITC-Medium" w:cs="StoneInfITC-Medium"/>
          <w:b/>
          <w:sz w:val="20"/>
          <w:szCs w:val="20"/>
        </w:rPr>
        <w:t xml:space="preserve"> </w:t>
      </w:r>
    </w:p>
    <w:p w:rsidR="009A1682" w:rsidRDefault="009A1682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 xml:space="preserve">2. </w:t>
      </w:r>
      <w:proofErr w:type="gramStart"/>
      <w:r>
        <w:rPr>
          <w:rFonts w:ascii="StoneInfITC-Medium" w:hAnsi="StoneInfITC-Medium" w:cs="StoneInfITC-Medium"/>
          <w:b/>
          <w:sz w:val="19"/>
          <w:szCs w:val="19"/>
        </w:rPr>
        <w:t>From</w:t>
      </w:r>
      <w:proofErr w:type="gramEnd"/>
      <w:r>
        <w:rPr>
          <w:rFonts w:ascii="StoneInfITC-Medium" w:hAnsi="StoneInfITC-Medium" w:cs="StoneInfITC-Medium"/>
          <w:b/>
          <w:sz w:val="19"/>
          <w:szCs w:val="19"/>
        </w:rPr>
        <w:t xml:space="preserve"> the constant: Since this factor is the same, should the energy outcome change?</w:t>
      </w:r>
    </w:p>
    <w:p w:rsidR="00D156EE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proofErr w:type="gramStart"/>
      <w:r>
        <w:rPr>
          <w:rFonts w:ascii="StoneInfITC-Medium" w:hAnsi="StoneInfITC-Medium" w:cs="StoneInfITC-Medium"/>
          <w:b/>
          <w:sz w:val="19"/>
          <w:szCs w:val="19"/>
        </w:rPr>
        <w:t>3.</w:t>
      </w:r>
      <w:r w:rsidR="00D97C04">
        <w:rPr>
          <w:rFonts w:ascii="StoneInfITC-Medium" w:hAnsi="StoneInfITC-Medium" w:cs="StoneInfITC-Medium"/>
          <w:b/>
          <w:sz w:val="19"/>
          <w:szCs w:val="19"/>
        </w:rPr>
        <w:t>Since</w:t>
      </w:r>
      <w:proofErr w:type="gramEnd"/>
      <w:r w:rsidR="00D97C04">
        <w:rPr>
          <w:rFonts w:ascii="StoneInfITC-Medium" w:hAnsi="StoneInfITC-Medium" w:cs="StoneInfITC-Medium"/>
          <w:b/>
          <w:sz w:val="19"/>
          <w:szCs w:val="19"/>
        </w:rPr>
        <w:t xml:space="preserve"> you have values and energy must be determined you must have an </w:t>
      </w:r>
      <w:r w:rsidR="009A1682">
        <w:rPr>
          <w:rFonts w:ascii="StoneInfITC-Medium" w:hAnsi="StoneInfITC-Medium" w:cs="StoneInfITC-Medium"/>
          <w:b/>
          <w:sz w:val="19"/>
          <w:szCs w:val="19"/>
        </w:rPr>
        <w:t>E</w:t>
      </w:r>
      <w:r w:rsidR="00D97C04">
        <w:rPr>
          <w:rFonts w:ascii="StoneInfITC-Medium" w:hAnsi="StoneInfITC-Medium" w:cs="StoneInfITC-Medium"/>
          <w:b/>
          <w:sz w:val="19"/>
          <w:szCs w:val="19"/>
        </w:rPr>
        <w:t>QUATION to complete this action. State it</w:t>
      </w:r>
      <w:r w:rsidR="009A1682">
        <w:rPr>
          <w:rFonts w:ascii="StoneInfITC-Medium" w:hAnsi="StoneInfITC-Medium" w:cs="StoneInfITC-Medium"/>
          <w:b/>
          <w:sz w:val="19"/>
          <w:szCs w:val="19"/>
        </w:rPr>
        <w:t>:</w:t>
      </w:r>
    </w:p>
    <w:p w:rsidR="009A1682" w:rsidRDefault="009A1682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B25623" w:rsidRDefault="00B25623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Default="009A1682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>With this equation find the energy for each trial:</w:t>
      </w:r>
    </w:p>
    <w:p w:rsidR="00D97C04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 xml:space="preserve">a. </w:t>
      </w:r>
      <w:r w:rsidR="00D97C04">
        <w:rPr>
          <w:rFonts w:ascii="StoneInfITC-Medium" w:hAnsi="StoneInfITC-Medium" w:cs="StoneInfITC-Medium"/>
          <w:b/>
          <w:sz w:val="19"/>
          <w:szCs w:val="19"/>
        </w:rPr>
        <w:t>Nut 1:</w:t>
      </w: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 xml:space="preserve">b. </w:t>
      </w:r>
      <w:r w:rsidR="00D97C04">
        <w:rPr>
          <w:rFonts w:ascii="StoneInfITC-Medium" w:hAnsi="StoneInfITC-Medium" w:cs="StoneInfITC-Medium"/>
          <w:b/>
          <w:sz w:val="19"/>
          <w:szCs w:val="19"/>
        </w:rPr>
        <w:t>Nut 2:</w:t>
      </w: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 xml:space="preserve">c. </w:t>
      </w:r>
      <w:r w:rsidR="00D97C04">
        <w:rPr>
          <w:rFonts w:ascii="StoneInfITC-Medium" w:hAnsi="StoneInfITC-Medium" w:cs="StoneInfITC-Medium"/>
          <w:b/>
          <w:sz w:val="19"/>
          <w:szCs w:val="19"/>
        </w:rPr>
        <w:t>Nut 3:</w:t>
      </w: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 xml:space="preserve">d. </w:t>
      </w:r>
      <w:r w:rsidR="00D97C04">
        <w:rPr>
          <w:rFonts w:ascii="StoneInfITC-Medium" w:hAnsi="StoneInfITC-Medium" w:cs="StoneInfITC-Medium"/>
          <w:b/>
          <w:sz w:val="19"/>
          <w:szCs w:val="19"/>
        </w:rPr>
        <w:t>Record these values in the table above (last column).</w:t>
      </w: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D97C04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 w:rsidRPr="00D156EE">
        <w:rPr>
          <w:rFonts w:ascii="StoneInfITC-Medium" w:hAnsi="StoneInfITC-Medium" w:cs="StoneInfITC-Medium"/>
          <w:b/>
          <w:sz w:val="19"/>
          <w:szCs w:val="19"/>
        </w:rPr>
        <w:t>4.</w:t>
      </w:r>
      <w:r>
        <w:rPr>
          <w:rFonts w:ascii="StoneInfITC-Medium" w:hAnsi="StoneInfITC-Medium" w:cs="StoneInfITC-Medium"/>
          <w:b/>
          <w:sz w:val="19"/>
          <w:szCs w:val="19"/>
          <w:u w:val="single"/>
        </w:rPr>
        <w:t xml:space="preserve"> </w:t>
      </w:r>
      <w:r w:rsidR="00D97C04" w:rsidRPr="00D97C04">
        <w:rPr>
          <w:rFonts w:ascii="StoneInfITC-Medium" w:hAnsi="StoneInfITC-Medium" w:cs="StoneInfITC-Medium"/>
          <w:b/>
          <w:sz w:val="19"/>
          <w:szCs w:val="19"/>
          <w:u w:val="single"/>
        </w:rPr>
        <w:t>Answer:</w:t>
      </w:r>
      <w:r w:rsidR="00D97C04">
        <w:rPr>
          <w:rFonts w:ascii="StoneInfITC-Medium" w:hAnsi="StoneInfITC-Medium" w:cs="StoneInfITC-Medium"/>
          <w:b/>
          <w:sz w:val="19"/>
          <w:szCs w:val="19"/>
        </w:rPr>
        <w:t xml:space="preserve"> How do these values compare? Are they close?</w:t>
      </w: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>If so does this show that the calorimeter works properly?</w:t>
      </w:r>
    </w:p>
    <w:p w:rsidR="00D97C04" w:rsidRDefault="00D97C04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Default="009A1682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Default="009A1682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Default="009A1682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9A1682" w:rsidRDefault="009A1682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</w:p>
    <w:p w:rsidR="00B25623" w:rsidRPr="00772AAC" w:rsidRDefault="00D156EE" w:rsidP="004C4FB6">
      <w:pPr>
        <w:autoSpaceDE w:val="0"/>
        <w:autoSpaceDN w:val="0"/>
        <w:adjustRightInd w:val="0"/>
        <w:spacing w:after="0" w:line="240" w:lineRule="auto"/>
        <w:rPr>
          <w:rFonts w:ascii="StoneInfITC-Medium" w:hAnsi="StoneInfITC-Medium" w:cs="StoneInfITC-Medium"/>
          <w:b/>
          <w:sz w:val="19"/>
          <w:szCs w:val="19"/>
        </w:rPr>
      </w:pPr>
      <w:r>
        <w:rPr>
          <w:rFonts w:ascii="StoneInfITC-Medium" w:hAnsi="StoneInfITC-Medium" w:cs="StoneInfITC-Medium"/>
          <w:b/>
          <w:sz w:val="19"/>
          <w:szCs w:val="19"/>
        </w:rPr>
        <w:t xml:space="preserve">5. </w:t>
      </w:r>
      <w:r w:rsidR="00B25623">
        <w:rPr>
          <w:rFonts w:ascii="StoneInfITC-Medium" w:hAnsi="StoneInfITC-Medium" w:cs="StoneInfITC-Medium"/>
          <w:b/>
          <w:sz w:val="19"/>
          <w:szCs w:val="19"/>
        </w:rPr>
        <w:t xml:space="preserve">Another important point to discuss is the relationship between the amount of water and the temperature change. </w:t>
      </w:r>
      <w:proofErr w:type="gramStart"/>
      <w:r w:rsidR="00B25623">
        <w:rPr>
          <w:rFonts w:ascii="StoneInfITC-Medium" w:hAnsi="StoneInfITC-Medium" w:cs="StoneInfITC-Medium"/>
          <w:b/>
          <w:sz w:val="19"/>
          <w:szCs w:val="19"/>
        </w:rPr>
        <w:t>Round the temperature change to the 10's place.</w:t>
      </w:r>
      <w:proofErr w:type="gramEnd"/>
      <w:r w:rsidR="00B25623">
        <w:rPr>
          <w:rFonts w:ascii="StoneInfITC-Medium" w:hAnsi="StoneInfITC-Medium" w:cs="StoneInfITC-Medium"/>
          <w:b/>
          <w:sz w:val="19"/>
          <w:szCs w:val="19"/>
        </w:rPr>
        <w:t xml:space="preserve">  And examine how the temperature change changes as the mass is changed. Explain this relationship</w:t>
      </w:r>
      <w:r w:rsidR="00031F23">
        <w:rPr>
          <w:rFonts w:ascii="StoneInfITC-Medium" w:hAnsi="StoneInfITC-Medium" w:cs="StoneInfITC-Medium"/>
          <w:b/>
          <w:sz w:val="19"/>
          <w:szCs w:val="19"/>
        </w:rPr>
        <w:t>. Give an example (stove top experience) that shows this</w:t>
      </w:r>
      <w:r w:rsidR="00B25623">
        <w:rPr>
          <w:rFonts w:ascii="StoneInfITC-Medium" w:hAnsi="StoneInfITC-Medium" w:cs="StoneInfITC-Medium"/>
          <w:b/>
          <w:sz w:val="19"/>
          <w:szCs w:val="19"/>
        </w:rPr>
        <w:t>:</w:t>
      </w:r>
    </w:p>
    <w:sectPr w:rsidR="00B25623" w:rsidRPr="00772AAC" w:rsidSect="00B25623">
      <w:headerReference w:type="default" r:id="rId6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A4B" w:rsidRDefault="00572A4B" w:rsidP="0038758E">
      <w:pPr>
        <w:spacing w:after="0" w:line="240" w:lineRule="auto"/>
      </w:pPr>
      <w:r>
        <w:separator/>
      </w:r>
    </w:p>
  </w:endnote>
  <w:endnote w:type="continuationSeparator" w:id="0">
    <w:p w:rsidR="00572A4B" w:rsidRDefault="00572A4B" w:rsidP="0038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InfITC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oneInfITC-Medium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A4B" w:rsidRDefault="00572A4B" w:rsidP="0038758E">
      <w:pPr>
        <w:spacing w:after="0" w:line="240" w:lineRule="auto"/>
      </w:pPr>
      <w:r>
        <w:separator/>
      </w:r>
    </w:p>
  </w:footnote>
  <w:footnote w:type="continuationSeparator" w:id="0">
    <w:p w:rsidR="00572A4B" w:rsidRDefault="00572A4B" w:rsidP="00387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8E" w:rsidRDefault="0038758E" w:rsidP="0038758E">
    <w:pPr>
      <w:pStyle w:val="Header"/>
    </w:pPr>
    <w:r>
      <w:t xml:space="preserve">Activity </w:t>
    </w:r>
    <w:r w:rsidR="00125433">
      <w:t>63: Measuring Calories</w:t>
    </w:r>
    <w:r>
      <w:tab/>
    </w:r>
    <w:r>
      <w:tab/>
      <w:t>Name</w:t>
    </w:r>
    <w:proofErr w:type="gramStart"/>
    <w:r>
      <w:t>:_</w:t>
    </w:r>
    <w:proofErr w:type="gramEnd"/>
    <w:r>
      <w:t>__________________________</w:t>
    </w:r>
  </w:p>
  <w:p w:rsidR="0038758E" w:rsidRDefault="0038758E" w:rsidP="0038758E">
    <w:pPr>
      <w:pStyle w:val="Header"/>
    </w:pPr>
    <w:r>
      <w:tab/>
    </w:r>
    <w:r>
      <w:tab/>
      <w:t>Date: __________________</w:t>
    </w:r>
  </w:p>
  <w:p w:rsidR="0038758E" w:rsidRDefault="0038758E">
    <w:pPr>
      <w:pStyle w:val="Header"/>
    </w:pPr>
    <w:r>
      <w:t>Analysis and Conclusion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58E"/>
    <w:rsid w:val="00012259"/>
    <w:rsid w:val="00031F23"/>
    <w:rsid w:val="000C1736"/>
    <w:rsid w:val="00125433"/>
    <w:rsid w:val="001B01D2"/>
    <w:rsid w:val="00294FD4"/>
    <w:rsid w:val="0038758E"/>
    <w:rsid w:val="003A42E6"/>
    <w:rsid w:val="003B42BD"/>
    <w:rsid w:val="00496C44"/>
    <w:rsid w:val="004C4FB6"/>
    <w:rsid w:val="00564807"/>
    <w:rsid w:val="00572A4B"/>
    <w:rsid w:val="005A2E3D"/>
    <w:rsid w:val="00772AAC"/>
    <w:rsid w:val="007A3BCC"/>
    <w:rsid w:val="007D546F"/>
    <w:rsid w:val="008102EB"/>
    <w:rsid w:val="009232F8"/>
    <w:rsid w:val="009841C5"/>
    <w:rsid w:val="009A1682"/>
    <w:rsid w:val="00AB69C5"/>
    <w:rsid w:val="00B25623"/>
    <w:rsid w:val="00BD76C6"/>
    <w:rsid w:val="00D156EE"/>
    <w:rsid w:val="00D70798"/>
    <w:rsid w:val="00D97C04"/>
    <w:rsid w:val="00F6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58E"/>
  </w:style>
  <w:style w:type="paragraph" w:styleId="Footer">
    <w:name w:val="footer"/>
    <w:basedOn w:val="Normal"/>
    <w:link w:val="FooterChar"/>
    <w:uiPriority w:val="99"/>
    <w:semiHidden/>
    <w:unhideWhenUsed/>
    <w:rsid w:val="003875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58E"/>
  </w:style>
  <w:style w:type="table" w:styleId="TableGrid">
    <w:name w:val="Table Grid"/>
    <w:basedOn w:val="TableNormal"/>
    <w:uiPriority w:val="59"/>
    <w:rsid w:val="0077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Polakovsky</dc:creator>
  <cp:lastModifiedBy>User</cp:lastModifiedBy>
  <cp:revision>2</cp:revision>
  <cp:lastPrinted>2015-04-08T12:59:00Z</cp:lastPrinted>
  <dcterms:created xsi:type="dcterms:W3CDTF">2015-04-09T20:28:00Z</dcterms:created>
  <dcterms:modified xsi:type="dcterms:W3CDTF">2015-04-09T20:28:00Z</dcterms:modified>
</cp:coreProperties>
</file>